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EE" w:rsidRDefault="006A0B3E">
      <w:pPr>
        <w:spacing w:after="0" w:line="259" w:lineRule="auto"/>
        <w:ind w:left="0" w:right="0" w:firstLine="0"/>
      </w:pPr>
      <w:r>
        <w:rPr>
          <w:b/>
          <w:sz w:val="48"/>
        </w:rPr>
        <w:t xml:space="preserve">Parametry oleju opałowego (Normy) </w:t>
      </w:r>
    </w:p>
    <w:p w:rsidR="008875EE" w:rsidRDefault="006A0B3E">
      <w:pPr>
        <w:spacing w:after="0" w:line="259" w:lineRule="auto"/>
        <w:ind w:left="151" w:right="0" w:firstLine="0"/>
        <w:jc w:val="center"/>
      </w:pPr>
      <w:r>
        <w:rPr>
          <w:b/>
          <w:color w:val="FFCC00"/>
          <w:sz w:val="27"/>
        </w:rPr>
        <w:t xml:space="preserve"> </w:t>
      </w:r>
    </w:p>
    <w:p w:rsidR="008875EE" w:rsidRDefault="006A0B3E">
      <w:pPr>
        <w:spacing w:after="16" w:line="259" w:lineRule="auto"/>
        <w:ind w:left="151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96012</wp:posOffset>
            </wp:positionH>
            <wp:positionV relativeFrom="paragraph">
              <wp:posOffset>-32739</wp:posOffset>
            </wp:positionV>
            <wp:extent cx="1809115" cy="1256665"/>
            <wp:effectExtent l="0" t="0" r="0" b="0"/>
            <wp:wrapSquare wrapText="bothSides"/>
            <wp:docPr id="1006" name="Picture 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Picture 10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CC00"/>
          <w:sz w:val="27"/>
        </w:rPr>
        <w:t xml:space="preserve"> </w:t>
      </w:r>
    </w:p>
    <w:p w:rsidR="008875EE" w:rsidRDefault="006A0B3E">
      <w:pPr>
        <w:spacing w:after="823" w:line="259" w:lineRule="auto"/>
        <w:ind w:left="768" w:right="55" w:hanging="617"/>
      </w:pPr>
      <w:r>
        <w:rPr>
          <w:b/>
          <w:color w:val="FFCC00"/>
          <w:sz w:val="27"/>
        </w:rPr>
        <w:t>Tabela-Ogólnie stosowane wymagania  (Norma PN-C-96</w:t>
      </w:r>
      <w:bookmarkStart w:id="0" w:name="_GoBack"/>
      <w:bookmarkEnd w:id="0"/>
      <w:r>
        <w:rPr>
          <w:b/>
          <w:color w:val="FFCC00"/>
          <w:sz w:val="27"/>
        </w:rPr>
        <w:t>024:2011)</w:t>
      </w:r>
      <w:r>
        <w:rPr>
          <w:sz w:val="24"/>
        </w:rPr>
        <w:t xml:space="preserve"> </w:t>
      </w:r>
    </w:p>
    <w:tbl>
      <w:tblPr>
        <w:tblStyle w:val="TableGrid"/>
        <w:tblW w:w="10502" w:type="dxa"/>
        <w:tblInd w:w="-1" w:type="dxa"/>
        <w:tblCellMar>
          <w:top w:w="2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865"/>
        <w:gridCol w:w="1560"/>
        <w:gridCol w:w="1469"/>
        <w:gridCol w:w="1608"/>
      </w:tblGrid>
      <w:tr w:rsidR="008875EE">
        <w:trPr>
          <w:trHeight w:val="336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t>Parametr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rPr>
                <w:sz w:val="24"/>
              </w:rPr>
              <w:t xml:space="preserve"> </w:t>
            </w:r>
            <w:r>
              <w:t>Jednostka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8875EE" w:rsidRDefault="006A0B3E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  <w:proofErr w:type="spellStart"/>
            <w:r>
              <w:t>wa</w:t>
            </w:r>
            <w:proofErr w:type="spellEnd"/>
          </w:p>
        </w:tc>
        <w:tc>
          <w:tcPr>
            <w:tcW w:w="1608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-11" w:right="0" w:firstLine="0"/>
            </w:pPr>
            <w:proofErr w:type="spellStart"/>
            <w:r>
              <w:t>rtości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Gęstość w temperaturze 15 st. C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kg/m3</w:t>
            </w:r>
            <w:r>
              <w:rPr>
                <w:b/>
              </w:rPr>
              <w:t xml:space="preserve">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rPr>
                <w:b/>
              </w:rPr>
              <w:t xml:space="preserve">min.-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>max. 860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334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t>Skład frakcyjny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469" w:type="dxa"/>
            <w:tcBorders>
              <w:top w:val="single" w:sz="3" w:space="0" w:color="808080"/>
              <w:left w:val="nil"/>
              <w:bottom w:val="single" w:sz="3" w:space="0" w:color="808080"/>
              <w:right w:val="nil"/>
            </w:tcBorders>
          </w:tcPr>
          <w:p w:rsidR="008875EE" w:rsidRDefault="008875EE">
            <w:pPr>
              <w:spacing w:after="160" w:line="259" w:lineRule="auto"/>
              <w:ind w:left="0" w:right="0" w:firstLine="0"/>
            </w:pPr>
          </w:p>
        </w:tc>
        <w:tc>
          <w:tcPr>
            <w:tcW w:w="1608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8875EE" w:rsidRDefault="008875EE">
            <w:pPr>
              <w:spacing w:after="160" w:line="259" w:lineRule="auto"/>
              <w:ind w:left="0" w:right="0" w:firstLine="0"/>
            </w:pP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do temperatury 250 st. C destyluje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%(V/V)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min. </w:t>
            </w: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65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331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do temperatury 350 st. C destyluje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%(V/V)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85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Temperatura zapłonu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st. C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min. </w:t>
            </w:r>
            <w:r>
              <w:rPr>
                <w:b/>
              </w:rPr>
              <w:t>56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331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Lepkość kinematyczna w temperaturze 20 st. C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mm2/s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min. </w:t>
            </w: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 xml:space="preserve">max.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Temperatura płynięcia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st. C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 xml:space="preserve">max. </w:t>
            </w:r>
            <w:r>
              <w:rPr>
                <w:b/>
              </w:rPr>
              <w:t>-20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Pozostałość po koksowaniu (z 10% pozostałości destylacyjnej)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%(m/m)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 xml:space="preserve">max. </w:t>
            </w:r>
            <w:r>
              <w:rPr>
                <w:b/>
              </w:rPr>
              <w:t>0,3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Zawartość siarki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%(m/m)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0,1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Zawartość wody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mg/kg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200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Zawartość zanieczyszczeń stałych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mg/kg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331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Pozostałość po spopielaniu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%(m/m)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 xml:space="preserve">max. </w:t>
            </w:r>
            <w:r>
              <w:rPr>
                <w:b/>
              </w:rPr>
              <w:t>0,01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Wartość opałowa (kaloryczność)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MJ/kg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42,6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Zawartość znacznika SY 124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mg/l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>min.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sz w:val="24"/>
              </w:rPr>
              <w:t xml:space="preserve"> </w:t>
            </w:r>
          </w:p>
        </w:tc>
      </w:tr>
      <w:tr w:rsidR="008875EE">
        <w:trPr>
          <w:trHeight w:val="298"/>
        </w:trPr>
        <w:tc>
          <w:tcPr>
            <w:tcW w:w="58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Zawartość barwnika S Red 19 </w:t>
            </w: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mg/l 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0" w:right="0" w:firstLine="0"/>
            </w:pPr>
            <w:r>
              <w:t xml:space="preserve">min. </w:t>
            </w:r>
            <w:r>
              <w:rPr>
                <w:b/>
              </w:rPr>
              <w:t>6,3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8875EE" w:rsidRDefault="006A0B3E">
            <w:pPr>
              <w:spacing w:after="0" w:line="259" w:lineRule="auto"/>
              <w:ind w:left="32" w:right="0" w:firstLine="0"/>
            </w:pPr>
            <w:r>
              <w:t>max.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sz w:val="24"/>
              </w:rPr>
              <w:t xml:space="preserve"> </w:t>
            </w:r>
          </w:p>
        </w:tc>
      </w:tr>
    </w:tbl>
    <w:p w:rsidR="008875EE" w:rsidRDefault="006A0B3E">
      <w:pPr>
        <w:spacing w:after="0"/>
        <w:ind w:left="-5"/>
      </w:pPr>
      <w:r>
        <w:rPr>
          <w:b/>
        </w:rPr>
        <w:t xml:space="preserve">Słowniczek użytych pojęć Gęstość -  </w:t>
      </w:r>
      <w:r>
        <w:t xml:space="preserve">gęstość jest wielkością charakteryzującą jakość paliw i pozwala na odróżnienie poszczególnych gatunków paliw. </w:t>
      </w:r>
    </w:p>
    <w:p w:rsidR="008875EE" w:rsidRDefault="006A0B3E">
      <w:pPr>
        <w:ind w:left="-5" w:right="0"/>
      </w:pPr>
      <w:r>
        <w:t xml:space="preserve">Jest to masa jednostki objętości wyrażona albo w kg na metr sześcienny w temperaturze 15°C przy ciśnieniu </w:t>
      </w:r>
    </w:p>
    <w:p w:rsidR="008875EE" w:rsidRDefault="006A0B3E">
      <w:pPr>
        <w:ind w:left="-5" w:right="3704"/>
      </w:pPr>
      <w:r>
        <w:t xml:space="preserve">101,325 </w:t>
      </w:r>
      <w:proofErr w:type="spellStart"/>
      <w:r>
        <w:t>kPa</w:t>
      </w:r>
      <w:proofErr w:type="spellEnd"/>
      <w:r>
        <w:t xml:space="preserve">. Gęstość oleju ma wpływ na jakość rozpylenia mieszanki paliwo-powietrznej i w konsekwencji na jakość spalania. </w:t>
      </w:r>
      <w:r>
        <w:rPr>
          <w:b/>
        </w:rPr>
        <w:t xml:space="preserve">Skład frakcyjny- </w:t>
      </w:r>
    </w:p>
    <w:p w:rsidR="008875EE" w:rsidRDefault="006A0B3E">
      <w:pPr>
        <w:ind w:left="-5" w:right="0"/>
      </w:pPr>
      <w:r>
        <w:t>jest bardzo ważnym wskaźnikiem służącym do oceny zdolności rozruchowych paliwa, zdolności paliwa do samozapłonu, re</w:t>
      </w:r>
      <w:r>
        <w:t>gularności przebiegu spalania. W olej opałowy zawartość duże ilości ciężkich  frakcji  jest niepożądany, gdyż olej ten nie spala się całkowicie, a poza tym podczas spalania tworzą się nadmierne ilości nagaru i smół, które odkładają się na końcówce wtryskiw</w:t>
      </w:r>
      <w:r>
        <w:t xml:space="preserve">acza powodując jego niepoprawną pracę. Natomiast zbyt mała ilość lekkich frakcji w paliwie pogorszenie odporności na niskie temperatury. </w:t>
      </w:r>
    </w:p>
    <w:p w:rsidR="008875EE" w:rsidRDefault="006A0B3E">
      <w:pPr>
        <w:pStyle w:val="Nagwek1"/>
        <w:ind w:left="-5"/>
      </w:pPr>
      <w:r>
        <w:t xml:space="preserve">Temperatura zapłonu- </w:t>
      </w:r>
    </w:p>
    <w:p w:rsidR="008875EE" w:rsidRDefault="006A0B3E">
      <w:pPr>
        <w:ind w:left="-5" w:right="0"/>
      </w:pPr>
      <w:r>
        <w:t>temperaturę zapłonu podaje się głównie w celu oznaczenia bezpieczeństwa przeciwpożarowego podcza</w:t>
      </w:r>
      <w:r>
        <w:t xml:space="preserve">s użytkowania paliwa. Temperatura zapłonu charakteryzuje skłonność tworzenia mieszanin palnych i jest wartością, przy której ogrzewany produkt w mieszaninie z powietrzem ulega zapłonowi w zetknięciu z płomieniem. </w:t>
      </w:r>
      <w:r>
        <w:rPr>
          <w:b/>
        </w:rPr>
        <w:t xml:space="preserve">Lepkość kinematyczna w temperaturze 20 st. </w:t>
      </w:r>
      <w:r>
        <w:rPr>
          <w:b/>
        </w:rPr>
        <w:t xml:space="preserve">C- </w:t>
      </w:r>
    </w:p>
    <w:p w:rsidR="008875EE" w:rsidRDefault="006A0B3E">
      <w:pPr>
        <w:ind w:left="-5" w:right="0"/>
      </w:pPr>
      <w:r>
        <w:t xml:space="preserve">od lepkości oleju opałowego zależy stopień rozpylania paliwa i jakość jego spalania. Jeżeli jest ona zbyt duża, to podczas rozpylania tworzą się krople o dużych rozmiarach, spalanie takiej mieszanki nie jest </w:t>
      </w:r>
    </w:p>
    <w:p w:rsidR="008875EE" w:rsidRDefault="006A0B3E">
      <w:pPr>
        <w:spacing w:after="0"/>
        <w:ind w:left="-5" w:right="0"/>
      </w:pPr>
      <w:r>
        <w:t>równomierne. Paliwa o zbyt małej lepkości t</w:t>
      </w:r>
      <w:r>
        <w:t xml:space="preserve">akże zaburzają proces tworzenia mieszanki, podczas rozpylania tworzą się drobne kropelki, które szybko wytrącają prędkość. Strumień rozpylanego paliwa wypełnia wówczas tylko część komory spalania. Występuje lokalny nadmiar paliwa i niecałkowite spalanie w </w:t>
      </w:r>
      <w:r>
        <w:t xml:space="preserve">tej części komory, która jest blisko wtryskiwacza. Im wyższa jest lepkość paliwa tym trudniej przepływa ono przez filtry, przewody i inne elementy układu zasilania, co znajduje wyraz w zmniejszeniu mocy silnika. Zbyt niska lepkość paliwa </w:t>
      </w:r>
      <w:r>
        <w:lastRenderedPageBreak/>
        <w:t>również jest niepo</w:t>
      </w:r>
      <w:r>
        <w:t xml:space="preserve">żądana, gdyż paliwo w silnikach z zapłonem samoczynnym spełnia rolę środka smarnego dla tłoczków pomp wtryskowych. Wskutek zbyt małej lepkości smarowanie tych elementów jest niedostateczne, co powoduje ich szybsze zużycie. </w:t>
      </w:r>
      <w:r>
        <w:rPr>
          <w:b/>
        </w:rPr>
        <w:t xml:space="preserve">Temperatura płynięcia- </w:t>
      </w:r>
    </w:p>
    <w:p w:rsidR="008875EE" w:rsidRDefault="006A0B3E">
      <w:pPr>
        <w:ind w:left="-5" w:right="458"/>
      </w:pPr>
      <w:r>
        <w:t xml:space="preserve">Parametr </w:t>
      </w:r>
      <w:r>
        <w:t xml:space="preserve">charakteryzujący odporność olej opałowego na niskie temperatury. Jest to najniższa temperatura, w której olej znajduje się na granicy utraty płynności, pozostając nadal cieczą. </w:t>
      </w:r>
      <w:r>
        <w:rPr>
          <w:b/>
        </w:rPr>
        <w:t xml:space="preserve">Pozostałość po koksowaniu- </w:t>
      </w:r>
    </w:p>
    <w:p w:rsidR="008875EE" w:rsidRDefault="006A0B3E">
      <w:pPr>
        <w:ind w:left="-5" w:right="0"/>
      </w:pPr>
      <w:r>
        <w:t>paliwo przy spalaniu nie powinno tworzyć nadmiernej</w:t>
      </w:r>
      <w:r>
        <w:t xml:space="preserve"> ilości osadów w komorze spalania oraz na elementach dyszy wtryskowej. Skłonność do tworzenia nagaru wiąże się ze składem chemicznym paliwa. Ilość nagaru rośnie wówczas, gdy paliwo zawiera węglowodory nienasycone, wysoko cząsteczkowe składniki o charakterz</w:t>
      </w:r>
      <w:r>
        <w:t xml:space="preserve">e smół, związki siarki oraz kwasy organiczne. Ogólnie można przyjąć, że im mniejsza jest pozostałość po koksowaniu, tym mniejsze jest prawdopodobieństwo tworzenia się nagaru. </w:t>
      </w:r>
    </w:p>
    <w:p w:rsidR="008875EE" w:rsidRDefault="006A0B3E">
      <w:pPr>
        <w:ind w:left="-5" w:right="169"/>
      </w:pPr>
      <w:r>
        <w:rPr>
          <w:b/>
        </w:rPr>
        <w:t xml:space="preserve">Zawartość siarki- </w:t>
      </w:r>
      <w:r>
        <w:t>siarka ma duży wpływ na wielkość i rodzaj emisji spalin z kotł</w:t>
      </w:r>
      <w:r>
        <w:t xml:space="preserve">ów grzewczych oraz własności korozyjne paliwa. </w:t>
      </w:r>
    </w:p>
    <w:p w:rsidR="008875EE" w:rsidRDefault="006A0B3E">
      <w:pPr>
        <w:ind w:left="-5" w:right="0"/>
      </w:pPr>
      <w:r>
        <w:t xml:space="preserve">Siarka powoduje niszczenie poprzez korozję elementów kotła grzewczego obniżając jego wydajność i sprawność. Obniżenie jej zawartości wpływa na zmniejszenie ilości szkodliwych substancji w spalinach. </w:t>
      </w:r>
    </w:p>
    <w:p w:rsidR="008875EE" w:rsidRDefault="006A0B3E">
      <w:pPr>
        <w:pStyle w:val="Nagwek1"/>
        <w:ind w:left="-5"/>
      </w:pPr>
      <w:r>
        <w:t>Zawartoś</w:t>
      </w:r>
      <w:r>
        <w:t xml:space="preserve">ć wody- </w:t>
      </w:r>
    </w:p>
    <w:p w:rsidR="008875EE" w:rsidRDefault="006A0B3E">
      <w:pPr>
        <w:ind w:left="-5" w:right="0"/>
      </w:pPr>
      <w:r>
        <w:t>woda w olejach opałowych może być rozpuszczona lub tworzyć rodzaj emulsji. Niewielka zawartość woda, rozproszona w paliwie w postaci emulsji nie stanowi poważnego niebezpieczeństwa dla pracy pomp paliwowej i dysz wtryskowych. Natomiast jej nadmiar</w:t>
      </w:r>
      <w:r>
        <w:t xml:space="preserve"> staje się niebezpieczeństwem dla pracy tych elementów kotła olejowego. Ponadto stosowanie zawodnionego paliwa zimą, w temp. poniżej 0°C jest szczególnie niebezpieczne, ponieważ woda krzepnie, tworząc kryształki lodu, które osiadają na siatce filtru i zaty</w:t>
      </w:r>
      <w:r>
        <w:t xml:space="preserve">kają jej oczka. Oczywiści dotyczy to zbiorników magazynowych umiejscowionych poza budynkiem. </w:t>
      </w:r>
    </w:p>
    <w:p w:rsidR="008875EE" w:rsidRDefault="006A0B3E">
      <w:pPr>
        <w:pStyle w:val="Nagwek1"/>
        <w:ind w:left="-5"/>
      </w:pPr>
      <w:r>
        <w:t xml:space="preserve">Zawartość zanieczyszczeń stałych- </w:t>
      </w:r>
    </w:p>
    <w:p w:rsidR="008875EE" w:rsidRDefault="006A0B3E">
      <w:pPr>
        <w:spacing w:after="0"/>
        <w:ind w:left="-5" w:right="0"/>
      </w:pPr>
      <w:r>
        <w:t>jeżeli nie zachowuje się właściwych środków ostrożności podczas transportu, magazynowania i przelewania paliwa, mogą dostać się</w:t>
      </w:r>
      <w:r>
        <w:t xml:space="preserve"> do niego zanieczyszczenia mechaniczne. Szczególnie szkodliwymi zanieczyszczeniami </w:t>
      </w:r>
    </w:p>
    <w:p w:rsidR="008875EE" w:rsidRDefault="006A0B3E">
      <w:pPr>
        <w:ind w:left="-5" w:right="921"/>
      </w:pPr>
      <w:r>
        <w:t>są piasek i glina, ze względu na ich własności ścierne i twardość. Generalnie zanieczyszczenia stałe zanieczyszczają filtry i zatykają otwory wtryskiwaczy, a jeżeli nie zos</w:t>
      </w:r>
      <w:r>
        <w:t xml:space="preserve">tały zatrzymane na filtrach, mogą porysować i uszkodzić elementy pomp paliwowych i dysz wtryskowych. </w:t>
      </w:r>
      <w:r>
        <w:rPr>
          <w:b/>
        </w:rPr>
        <w:t xml:space="preserve">Pozostałość po spopielaniu- </w:t>
      </w:r>
    </w:p>
    <w:p w:rsidR="008875EE" w:rsidRDefault="006A0B3E">
      <w:pPr>
        <w:ind w:left="-5" w:right="0"/>
      </w:pPr>
      <w:r>
        <w:t>przy spalaniu paliwa oprócz nagaru może również tworzyć się popiół. Tworzenie się popiołu uwarunkowane jest obecnością w paliwie związków nieorganicznych: przypadkowych zanieczyszczeń mineralnych, bądź rozpuszczalnych mydeł pochodzących z procesu zobojętni</w:t>
      </w:r>
      <w:r>
        <w:t xml:space="preserve">ania kwasów organicznych alkaliami. Większość popiołu przechodzi przez komorę spalania bez spowodowania szkodliwych skutków, ale niektóre odkładają się w komorze spalania powodując jej zanieczyszczenie mechaniczne.  </w:t>
      </w:r>
    </w:p>
    <w:p w:rsidR="008875EE" w:rsidRDefault="006A0B3E">
      <w:pPr>
        <w:pStyle w:val="Nagwek1"/>
        <w:ind w:left="-5"/>
      </w:pPr>
      <w:r>
        <w:t xml:space="preserve">Wartość opałowa (kaloryczność)- </w:t>
      </w:r>
    </w:p>
    <w:p w:rsidR="008875EE" w:rsidRDefault="006A0B3E">
      <w:pPr>
        <w:ind w:left="-5" w:right="0"/>
      </w:pPr>
      <w:r>
        <w:t>stosun</w:t>
      </w:r>
      <w:r>
        <w:t>ek ciepła uzyskanego ze spalenia paliwa do masy lub objętości tego paliwa. Liczbowo równa ilości ciepła, jaką można uzyskać ze spalenia 1 kg paliwa stałego lub ciekłego albo 1 m3 paliwa gazowego; wartość opałową oblicza się jako różnicę ciepła spalania i c</w:t>
      </w:r>
      <w:r>
        <w:t xml:space="preserve">iepła parowania wody wydzielonej z paliwa podczas jego spalania; na przykład wartość opałowa ropy naftowej wynosi 40–46 MJ/kg, węgla kam. — 15–35 MJ/kg. </w:t>
      </w:r>
    </w:p>
    <w:p w:rsidR="008875EE" w:rsidRDefault="006A0B3E">
      <w:pPr>
        <w:pStyle w:val="Nagwek1"/>
        <w:spacing w:after="95"/>
        <w:ind w:left="-5"/>
      </w:pPr>
      <w:r>
        <w:rPr>
          <w:b w:val="0"/>
        </w:rPr>
        <w:t xml:space="preserve"> </w:t>
      </w:r>
      <w:r>
        <w:t>znacznika SY 124 i barwnika S Red 19-</w:t>
      </w:r>
      <w:r>
        <w:rPr>
          <w:b w:val="0"/>
          <w:sz w:val="24"/>
        </w:rPr>
        <w:t xml:space="preserve"> </w:t>
      </w:r>
    </w:p>
    <w:p w:rsidR="008875EE" w:rsidRDefault="006A0B3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sectPr w:rsidR="008875EE">
      <w:pgSz w:w="11906" w:h="16838"/>
      <w:pgMar w:top="1175" w:right="1161" w:bottom="117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E"/>
    <w:rsid w:val="006A0B3E"/>
    <w:rsid w:val="008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7A92"/>
  <w15:docId w15:val="{124E1FA3-0B23-488B-83A9-B2BD51A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55" w:lineRule="auto"/>
      <w:ind w:left="10" w:right="126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cp:keywords/>
  <cp:lastModifiedBy>Magdalena Macioszek</cp:lastModifiedBy>
  <cp:revision>2</cp:revision>
  <dcterms:created xsi:type="dcterms:W3CDTF">2018-09-03T10:52:00Z</dcterms:created>
  <dcterms:modified xsi:type="dcterms:W3CDTF">2018-09-03T10:52:00Z</dcterms:modified>
</cp:coreProperties>
</file>